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8354E" w:rsidRPr="00EC3536" w:rsidRDefault="00EC3536" w:rsidP="00EC3536">
      <w:pPr>
        <w:jc w:val="both"/>
        <w:rPr>
          <w:rFonts w:ascii="Arial" w:hAnsi="Arial" w:cs="Arial"/>
          <w:b/>
          <w:color w:val="8EAADB" w:themeColor="accent5" w:themeTint="99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color w:val="8EAADB" w:themeColor="accent5" w:themeTint="99"/>
          <w:sz w:val="40"/>
          <w:szCs w:val="40"/>
        </w:rPr>
        <w:t>LISTE DE PIÈCES A FOURNIR</w:t>
      </w:r>
    </w:p>
    <w:p w:rsidR="00C8354E" w:rsidRPr="00C8354E" w:rsidRDefault="00C8354E" w:rsidP="00C8354E">
      <w:pPr>
        <w:pStyle w:val="Paragraphedeliste"/>
        <w:numPr>
          <w:ilvl w:val="0"/>
          <w:numId w:val="4"/>
        </w:numPr>
        <w:ind w:left="142" w:firstLine="0"/>
        <w:jc w:val="both"/>
        <w:rPr>
          <w:rFonts w:ascii="Arial" w:hAnsi="Arial" w:cs="Arial"/>
          <w:sz w:val="24"/>
          <w:szCs w:val="24"/>
        </w:rPr>
      </w:pPr>
      <w:r w:rsidRPr="00C8354E">
        <w:rPr>
          <w:rFonts w:ascii="Arial" w:hAnsi="Arial" w:cs="Arial"/>
          <w:sz w:val="24"/>
          <w:szCs w:val="24"/>
        </w:rPr>
        <w:t xml:space="preserve">Un extrait avec filiation ou une copie intégrale de l’acte de naissance daté de moins de 3 mois à la date du dépôt du dossier </w:t>
      </w:r>
    </w:p>
    <w:p w:rsidR="00C8354E" w:rsidRPr="00C8354E" w:rsidRDefault="00C8354E" w:rsidP="00C8354E">
      <w:pPr>
        <w:pStyle w:val="Paragraphedeliste"/>
        <w:numPr>
          <w:ilvl w:val="0"/>
          <w:numId w:val="4"/>
        </w:numPr>
        <w:ind w:left="142" w:firstLine="0"/>
        <w:jc w:val="both"/>
        <w:rPr>
          <w:rFonts w:ascii="Arial" w:hAnsi="Arial" w:cs="Arial"/>
          <w:sz w:val="24"/>
          <w:szCs w:val="24"/>
        </w:rPr>
      </w:pPr>
      <w:r w:rsidRPr="00C8354E">
        <w:rPr>
          <w:rFonts w:ascii="Arial" w:hAnsi="Arial" w:cs="Arial"/>
          <w:sz w:val="24"/>
          <w:szCs w:val="24"/>
        </w:rPr>
        <w:t xml:space="preserve">Un justificatif de domicile au nom de chacun des futurs époux </w:t>
      </w:r>
    </w:p>
    <w:p w:rsidR="00C8354E" w:rsidRPr="00C8354E" w:rsidRDefault="00C8354E" w:rsidP="00C8354E">
      <w:pPr>
        <w:pStyle w:val="Paragraphedeliste"/>
        <w:ind w:left="142"/>
        <w:jc w:val="both"/>
        <w:rPr>
          <w:rFonts w:ascii="Arial" w:hAnsi="Arial" w:cs="Arial"/>
          <w:sz w:val="24"/>
          <w:szCs w:val="24"/>
        </w:rPr>
      </w:pPr>
      <w:r w:rsidRPr="00C8354E">
        <w:rPr>
          <w:rFonts w:ascii="Arial" w:hAnsi="Arial" w:cs="Arial"/>
          <w:sz w:val="24"/>
          <w:szCs w:val="24"/>
        </w:rPr>
        <w:t>ou un justificatif de domicile + photocopie du passeport ou de la carte nationale d’identité du parent domicilié dans la collectivité si les futurs époux n’habitent pas dans la collectivité</w:t>
      </w:r>
    </w:p>
    <w:p w:rsidR="00C8354E" w:rsidRPr="00C8354E" w:rsidRDefault="00C8354E" w:rsidP="00C8354E">
      <w:pPr>
        <w:pStyle w:val="Paragraphedeliste"/>
        <w:numPr>
          <w:ilvl w:val="0"/>
          <w:numId w:val="4"/>
        </w:numPr>
        <w:ind w:left="142" w:firstLine="0"/>
        <w:jc w:val="both"/>
        <w:rPr>
          <w:rFonts w:ascii="Arial" w:hAnsi="Arial" w:cs="Arial"/>
          <w:sz w:val="24"/>
          <w:szCs w:val="24"/>
        </w:rPr>
      </w:pPr>
      <w:r w:rsidRPr="00C8354E">
        <w:rPr>
          <w:rFonts w:ascii="Arial" w:hAnsi="Arial" w:cs="Arial"/>
          <w:sz w:val="24"/>
          <w:szCs w:val="24"/>
        </w:rPr>
        <w:t>Une pièce d’identité en cours de validité (carte nationale d’identité ou passeport)</w:t>
      </w:r>
    </w:p>
    <w:p w:rsidR="00C8354E" w:rsidRPr="00C8354E" w:rsidRDefault="00C8354E" w:rsidP="00C8354E">
      <w:pPr>
        <w:pStyle w:val="Paragraphedeliste"/>
        <w:numPr>
          <w:ilvl w:val="0"/>
          <w:numId w:val="4"/>
        </w:numPr>
        <w:ind w:left="142" w:firstLine="0"/>
        <w:jc w:val="both"/>
        <w:rPr>
          <w:rFonts w:ascii="Arial" w:hAnsi="Arial" w:cs="Arial"/>
          <w:sz w:val="24"/>
          <w:szCs w:val="24"/>
        </w:rPr>
      </w:pPr>
      <w:r w:rsidRPr="00C8354E">
        <w:rPr>
          <w:rFonts w:ascii="Arial" w:hAnsi="Arial" w:cs="Arial"/>
          <w:sz w:val="24"/>
          <w:szCs w:val="24"/>
        </w:rPr>
        <w:t>Le certificat du notaire s’il a été fait un contrat de mariage</w:t>
      </w:r>
    </w:p>
    <w:p w:rsidR="00C8354E" w:rsidRPr="00C8354E" w:rsidRDefault="00C8354E" w:rsidP="00C8354E">
      <w:pPr>
        <w:pStyle w:val="Paragraphedeliste"/>
        <w:numPr>
          <w:ilvl w:val="0"/>
          <w:numId w:val="4"/>
        </w:numPr>
        <w:ind w:left="142" w:firstLine="0"/>
        <w:jc w:val="both"/>
        <w:rPr>
          <w:rFonts w:ascii="Arial" w:hAnsi="Arial" w:cs="Arial"/>
          <w:sz w:val="24"/>
          <w:szCs w:val="24"/>
        </w:rPr>
      </w:pPr>
      <w:r w:rsidRPr="00C8354E">
        <w:rPr>
          <w:rFonts w:ascii="Arial" w:hAnsi="Arial" w:cs="Arial"/>
          <w:sz w:val="24"/>
          <w:szCs w:val="24"/>
        </w:rPr>
        <w:t>La liste des témoins (un témoin au moins pour chacun des futurs époux, un deuxième facultatif, et copie de leurs pièces d’identité</w:t>
      </w:r>
      <w:r w:rsidR="0023080E">
        <w:rPr>
          <w:rFonts w:ascii="Arial" w:hAnsi="Arial" w:cs="Arial"/>
          <w:sz w:val="24"/>
          <w:szCs w:val="24"/>
        </w:rPr>
        <w:t>)</w:t>
      </w:r>
    </w:p>
    <w:p w:rsidR="00C8354E" w:rsidRPr="00C8354E" w:rsidRDefault="00C8354E" w:rsidP="00C8354E">
      <w:pPr>
        <w:pStyle w:val="Paragraphedeliste"/>
        <w:numPr>
          <w:ilvl w:val="0"/>
          <w:numId w:val="4"/>
        </w:numPr>
        <w:ind w:left="142" w:firstLine="0"/>
        <w:jc w:val="both"/>
        <w:rPr>
          <w:rFonts w:ascii="Arial" w:hAnsi="Arial" w:cs="Arial"/>
          <w:sz w:val="24"/>
          <w:szCs w:val="24"/>
        </w:rPr>
      </w:pPr>
      <w:r w:rsidRPr="00C8354E">
        <w:rPr>
          <w:rFonts w:ascii="Arial" w:hAnsi="Arial" w:cs="Arial"/>
          <w:sz w:val="24"/>
          <w:szCs w:val="24"/>
        </w:rPr>
        <w:t>Les formulaires dûment compétés</w:t>
      </w:r>
    </w:p>
    <w:p w:rsidR="00C8354E" w:rsidRPr="00C8354E" w:rsidRDefault="00C8354E" w:rsidP="00C8354E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C8354E">
        <w:rPr>
          <w:rFonts w:ascii="Arial" w:hAnsi="Arial" w:cs="Arial"/>
          <w:b/>
          <w:sz w:val="24"/>
          <w:szCs w:val="24"/>
        </w:rPr>
        <w:t>Cas spécifiques</w:t>
      </w:r>
    </w:p>
    <w:p w:rsidR="00C8354E" w:rsidRPr="00C8354E" w:rsidRDefault="00C8354E" w:rsidP="00C8354E">
      <w:pPr>
        <w:ind w:left="142"/>
        <w:jc w:val="both"/>
        <w:rPr>
          <w:rFonts w:ascii="Arial" w:hAnsi="Arial" w:cs="Arial"/>
          <w:sz w:val="24"/>
          <w:szCs w:val="24"/>
        </w:rPr>
      </w:pPr>
      <w:r w:rsidRPr="00C8354E">
        <w:rPr>
          <w:rFonts w:ascii="Arial" w:hAnsi="Arial" w:cs="Arial"/>
          <w:sz w:val="24"/>
          <w:szCs w:val="24"/>
        </w:rPr>
        <w:t>1 acte de décès du précédent conjoint en cas de veuvage</w:t>
      </w:r>
    </w:p>
    <w:p w:rsidR="00C8354E" w:rsidRPr="00C8354E" w:rsidRDefault="00C8354E" w:rsidP="00C8354E">
      <w:pPr>
        <w:ind w:left="142"/>
        <w:jc w:val="both"/>
        <w:rPr>
          <w:rFonts w:ascii="Arial" w:hAnsi="Arial" w:cs="Arial"/>
          <w:sz w:val="24"/>
          <w:szCs w:val="24"/>
        </w:rPr>
      </w:pPr>
      <w:r w:rsidRPr="00C8354E">
        <w:rPr>
          <w:rFonts w:ascii="Arial" w:hAnsi="Arial" w:cs="Arial"/>
          <w:sz w:val="24"/>
          <w:szCs w:val="24"/>
        </w:rPr>
        <w:t>1 copie de l’acte du précédent mariage portant la mention du divorce (si la mention ne figure pas sur  l’acte de naissance)</w:t>
      </w:r>
    </w:p>
    <w:p w:rsidR="00C8354E" w:rsidRPr="00C8354E" w:rsidRDefault="00C8354E" w:rsidP="00C8354E">
      <w:pPr>
        <w:ind w:left="142"/>
        <w:jc w:val="both"/>
        <w:rPr>
          <w:rFonts w:ascii="Arial" w:hAnsi="Arial" w:cs="Arial"/>
          <w:sz w:val="24"/>
          <w:szCs w:val="24"/>
        </w:rPr>
      </w:pPr>
      <w:r w:rsidRPr="00C8354E">
        <w:rPr>
          <w:rFonts w:ascii="Arial" w:hAnsi="Arial" w:cs="Arial"/>
          <w:sz w:val="24"/>
          <w:szCs w:val="24"/>
        </w:rPr>
        <w:t xml:space="preserve">Le livret de famille + une copie </w:t>
      </w:r>
      <w:r w:rsidR="00BC69E5">
        <w:rPr>
          <w:rFonts w:ascii="Arial" w:hAnsi="Arial" w:cs="Arial"/>
          <w:sz w:val="24"/>
          <w:szCs w:val="24"/>
        </w:rPr>
        <w:t xml:space="preserve">intégrale </w:t>
      </w:r>
      <w:r w:rsidRPr="00C8354E">
        <w:rPr>
          <w:rFonts w:ascii="Arial" w:hAnsi="Arial" w:cs="Arial"/>
          <w:sz w:val="24"/>
          <w:szCs w:val="24"/>
        </w:rPr>
        <w:t>d’acte de naissance datée de moins de 3 mois de chaque enfant né avant le mariage</w:t>
      </w:r>
    </w:p>
    <w:p w:rsidR="00C8354E" w:rsidRPr="00C8354E" w:rsidRDefault="00C8354E" w:rsidP="00C8354E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C8354E">
        <w:rPr>
          <w:rFonts w:ascii="Arial" w:hAnsi="Arial" w:cs="Arial"/>
          <w:b/>
          <w:sz w:val="24"/>
          <w:szCs w:val="24"/>
        </w:rPr>
        <w:t>Liste de pièces à fournir pour les époux de nationalité étrangère</w:t>
      </w:r>
    </w:p>
    <w:p w:rsidR="00C8354E" w:rsidRPr="009961FB" w:rsidRDefault="00C8354E" w:rsidP="009961F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8354E">
        <w:rPr>
          <w:rFonts w:ascii="Arial" w:hAnsi="Arial" w:cs="Arial"/>
          <w:sz w:val="24"/>
          <w:szCs w:val="24"/>
        </w:rPr>
        <w:t>Un acte de naissance en provenance du lieu de naissance rédigé dans la langue du pays datant de moins de 6 mois à la date du dépôt du dossier et sa traduction en français par un traducteur assermenté auprès d’une cour d’appel</w:t>
      </w:r>
      <w:r w:rsidR="009961FB" w:rsidRPr="009961FB">
        <w:rPr>
          <w:rFonts w:ascii="Arial" w:hAnsi="Arial" w:cs="Arial"/>
          <w:sz w:val="24"/>
          <w:szCs w:val="24"/>
        </w:rPr>
        <w:t xml:space="preserve"> </w:t>
      </w:r>
      <w:r w:rsidR="009961FB" w:rsidRPr="0072689B">
        <w:rPr>
          <w:rFonts w:ascii="Arial" w:hAnsi="Arial" w:cs="Arial"/>
          <w:sz w:val="24"/>
          <w:szCs w:val="24"/>
        </w:rPr>
        <w:t>ou une autorité consulaire (se renseigner auprès de l’ambassade ou du consulat du pays émetteur de l’acte de naissance).</w:t>
      </w:r>
    </w:p>
    <w:p w:rsidR="00C8354E" w:rsidRPr="00C8354E" w:rsidRDefault="00C8354E" w:rsidP="00AE7CFF">
      <w:pPr>
        <w:pStyle w:val="Paragraphedeliste"/>
        <w:numPr>
          <w:ilvl w:val="0"/>
          <w:numId w:val="4"/>
        </w:numPr>
        <w:ind w:left="142" w:firstLine="0"/>
        <w:jc w:val="both"/>
        <w:rPr>
          <w:rFonts w:ascii="Arial" w:hAnsi="Arial" w:cs="Arial"/>
          <w:sz w:val="24"/>
          <w:szCs w:val="24"/>
        </w:rPr>
      </w:pPr>
      <w:r w:rsidRPr="00C8354E">
        <w:rPr>
          <w:rFonts w:ascii="Arial" w:hAnsi="Arial" w:cs="Arial"/>
          <w:sz w:val="24"/>
          <w:szCs w:val="24"/>
        </w:rPr>
        <w:t>Un certificat de coutume délivré par le consulat</w:t>
      </w:r>
    </w:p>
    <w:p w:rsidR="00C8354E" w:rsidRPr="00C8354E" w:rsidRDefault="00C8354E" w:rsidP="00AE7CFF">
      <w:pPr>
        <w:pStyle w:val="Paragraphedeliste"/>
        <w:numPr>
          <w:ilvl w:val="0"/>
          <w:numId w:val="4"/>
        </w:numPr>
        <w:ind w:left="142" w:firstLine="0"/>
        <w:jc w:val="both"/>
        <w:rPr>
          <w:rFonts w:ascii="Arial" w:hAnsi="Arial" w:cs="Arial"/>
          <w:sz w:val="24"/>
          <w:szCs w:val="24"/>
        </w:rPr>
      </w:pPr>
      <w:r w:rsidRPr="00C8354E">
        <w:rPr>
          <w:rFonts w:ascii="Arial" w:hAnsi="Arial" w:cs="Arial"/>
          <w:sz w:val="24"/>
          <w:szCs w:val="24"/>
        </w:rPr>
        <w:t>Un certificat de célibat ou de capacité matrimonial délivré par le consulat si l’intéressé habite sur le territoire français ou par un notaire ou un avocat si l’intéressé habite à l’étranger</w:t>
      </w:r>
    </w:p>
    <w:p w:rsidR="00C8354E" w:rsidRPr="00C8354E" w:rsidRDefault="00C8354E" w:rsidP="00AE7CFF">
      <w:pPr>
        <w:pStyle w:val="Paragraphedeliste"/>
        <w:numPr>
          <w:ilvl w:val="0"/>
          <w:numId w:val="4"/>
        </w:numPr>
        <w:ind w:left="142" w:firstLine="0"/>
        <w:jc w:val="both"/>
        <w:rPr>
          <w:rFonts w:ascii="Arial" w:hAnsi="Arial" w:cs="Arial"/>
          <w:sz w:val="24"/>
          <w:szCs w:val="24"/>
        </w:rPr>
      </w:pPr>
      <w:r w:rsidRPr="00C8354E">
        <w:rPr>
          <w:rFonts w:ascii="Arial" w:hAnsi="Arial" w:cs="Arial"/>
          <w:sz w:val="24"/>
          <w:szCs w:val="24"/>
        </w:rPr>
        <w:t>Le passeport</w:t>
      </w:r>
    </w:p>
    <w:p w:rsidR="00C8354E" w:rsidRPr="00C8354E" w:rsidRDefault="00C8354E" w:rsidP="00AE7CFF">
      <w:pPr>
        <w:pStyle w:val="Paragraphedeliste"/>
        <w:numPr>
          <w:ilvl w:val="0"/>
          <w:numId w:val="4"/>
        </w:numPr>
        <w:ind w:left="142" w:firstLine="0"/>
        <w:jc w:val="both"/>
        <w:rPr>
          <w:rFonts w:ascii="Arial" w:hAnsi="Arial" w:cs="Arial"/>
          <w:sz w:val="24"/>
          <w:szCs w:val="24"/>
        </w:rPr>
      </w:pPr>
      <w:r w:rsidRPr="00C8354E">
        <w:rPr>
          <w:rFonts w:ascii="Arial" w:hAnsi="Arial" w:cs="Arial"/>
          <w:sz w:val="24"/>
          <w:szCs w:val="24"/>
        </w:rPr>
        <w:t>La carte de séjour si l’intéressé habite en France (ou le récépissé de prorogation)</w:t>
      </w:r>
    </w:p>
    <w:p w:rsidR="005C191F" w:rsidRDefault="00C8354E" w:rsidP="009961FB">
      <w:pPr>
        <w:ind w:left="567"/>
        <w:jc w:val="both"/>
        <w:rPr>
          <w:rFonts w:ascii="Arial" w:hAnsi="Arial" w:cs="Arial"/>
          <w:i/>
          <w:sz w:val="24"/>
          <w:szCs w:val="24"/>
        </w:rPr>
      </w:pPr>
      <w:r w:rsidRPr="009961FB">
        <w:rPr>
          <w:rFonts w:ascii="Arial" w:hAnsi="Arial" w:cs="Arial"/>
          <w:i/>
          <w:sz w:val="24"/>
          <w:szCs w:val="24"/>
        </w:rPr>
        <w:t>Pour certains pays, l’acte de naissance et le certificat de célibat ou de capacité matrimonial doit être légalisé ou revêtu de l’apostille et d’autres documents peuvent être demandés.</w:t>
      </w:r>
    </w:p>
    <w:p w:rsidR="005C191F" w:rsidRPr="00F43BC6" w:rsidRDefault="005C191F" w:rsidP="005C191F">
      <w:pPr>
        <w:ind w:left="502"/>
        <w:jc w:val="both"/>
        <w:rPr>
          <w:rFonts w:ascii="Arial" w:hAnsi="Arial" w:cs="Arial"/>
          <w:i/>
          <w:sz w:val="24"/>
          <w:szCs w:val="24"/>
        </w:rPr>
      </w:pPr>
      <w:r w:rsidRPr="00F43BC6">
        <w:rPr>
          <w:rFonts w:ascii="Arial" w:hAnsi="Arial" w:cs="Arial"/>
          <w:i/>
          <w:sz w:val="24"/>
          <w:szCs w:val="24"/>
        </w:rPr>
        <w:t>Pour savoir si l’acte doit être ou non légalisé ou apostillé, se reporter au tableau du document </w:t>
      </w:r>
      <w:hyperlink r:id="rId8" w:history="1">
        <w:r w:rsidR="001C41C9" w:rsidRPr="00FE7209">
          <w:rPr>
            <w:rStyle w:val="Lienhypertexte"/>
            <w:rFonts w:ascii="Arial" w:hAnsi="Arial" w:cs="Arial"/>
            <w:i/>
            <w:sz w:val="24"/>
            <w:szCs w:val="24"/>
          </w:rPr>
          <w:t>www.diplomatie.gouv.fr</w:t>
        </w:r>
      </w:hyperlink>
      <w:r w:rsidR="001C41C9">
        <w:rPr>
          <w:rFonts w:ascii="Arial" w:hAnsi="Arial" w:cs="Arial"/>
          <w:i/>
          <w:sz w:val="24"/>
          <w:szCs w:val="24"/>
        </w:rPr>
        <w:t xml:space="preserve">  tableau regime legalisation par pays</w:t>
      </w:r>
    </w:p>
    <w:p w:rsidR="005C191F" w:rsidRDefault="005C191F" w:rsidP="005C191F">
      <w:pPr>
        <w:ind w:left="502"/>
        <w:jc w:val="both"/>
        <w:rPr>
          <w:rFonts w:ascii="Arial" w:hAnsi="Arial" w:cs="Arial"/>
          <w:i/>
          <w:sz w:val="24"/>
          <w:szCs w:val="24"/>
        </w:rPr>
      </w:pPr>
      <w:r w:rsidRPr="00F43BC6">
        <w:rPr>
          <w:rFonts w:ascii="Arial" w:hAnsi="Arial" w:cs="Arial"/>
          <w:i/>
          <w:sz w:val="24"/>
          <w:szCs w:val="24"/>
        </w:rPr>
        <w:t xml:space="preserve">où la colonne I concerne les acte de l’état civil destinés à être produits en </w:t>
      </w:r>
      <w:r>
        <w:rPr>
          <w:rFonts w:ascii="Arial" w:hAnsi="Arial" w:cs="Arial"/>
          <w:i/>
          <w:sz w:val="24"/>
          <w:szCs w:val="24"/>
        </w:rPr>
        <w:t>France</w:t>
      </w:r>
    </w:p>
    <w:p w:rsidR="00C8354E" w:rsidRPr="00C8354E" w:rsidRDefault="00C8354E" w:rsidP="00C8354E">
      <w:pPr>
        <w:ind w:left="142"/>
        <w:rPr>
          <w:rFonts w:ascii="Arial" w:hAnsi="Arial" w:cs="Arial"/>
          <w:sz w:val="24"/>
          <w:szCs w:val="24"/>
        </w:rPr>
      </w:pPr>
    </w:p>
    <w:p w:rsidR="00C8354E" w:rsidRPr="00C8354E" w:rsidRDefault="00C8354E" w:rsidP="00AE7CFF">
      <w:pPr>
        <w:rPr>
          <w:rFonts w:ascii="Arial" w:hAnsi="Arial" w:cs="Arial"/>
          <w:b/>
          <w:sz w:val="24"/>
          <w:szCs w:val="24"/>
        </w:rPr>
      </w:pPr>
    </w:p>
    <w:p w:rsidR="00C8354E" w:rsidRPr="005C191F" w:rsidRDefault="00C8354E" w:rsidP="005C191F">
      <w:pPr>
        <w:ind w:left="142"/>
        <w:rPr>
          <w:rFonts w:ascii="Arial" w:hAnsi="Arial" w:cs="Arial"/>
          <w:b/>
          <w:sz w:val="24"/>
          <w:szCs w:val="24"/>
        </w:rPr>
      </w:pPr>
      <w:r w:rsidRPr="00C8354E">
        <w:rPr>
          <w:rFonts w:ascii="Arial" w:hAnsi="Arial" w:cs="Arial"/>
          <w:b/>
          <w:sz w:val="24"/>
          <w:szCs w:val="24"/>
        </w:rPr>
        <w:t>Mariage de 2 personnes de nationalité étrangère résidant à l’étranger</w:t>
      </w:r>
    </w:p>
    <w:p w:rsidR="00C8354E" w:rsidRPr="00C8354E" w:rsidRDefault="00C8354E" w:rsidP="00C8354E">
      <w:pPr>
        <w:ind w:left="142"/>
        <w:jc w:val="both"/>
        <w:rPr>
          <w:rFonts w:ascii="Arial" w:hAnsi="Arial" w:cs="Arial"/>
          <w:bCs/>
          <w:sz w:val="24"/>
          <w:szCs w:val="24"/>
        </w:rPr>
      </w:pPr>
      <w:r w:rsidRPr="00C8354E">
        <w:rPr>
          <w:rFonts w:ascii="Arial" w:hAnsi="Arial" w:cs="Arial"/>
          <w:bCs/>
          <w:sz w:val="24"/>
          <w:szCs w:val="24"/>
        </w:rPr>
        <w:t xml:space="preserve">Des dispositions spécifiques aux collectivités d’outre-mer et à la Nouvelle-Calédonie en matière de mariage des étrangers ont été introduites par l’article 58 de la loi n° 2009-594 du 27 mai 2009 pour le développement économique des outre-mer. </w:t>
      </w:r>
    </w:p>
    <w:p w:rsidR="00C8354E" w:rsidRPr="00C8354E" w:rsidRDefault="00C8354E" w:rsidP="00C8354E">
      <w:pPr>
        <w:ind w:left="142"/>
        <w:jc w:val="both"/>
        <w:rPr>
          <w:rFonts w:ascii="Arial" w:hAnsi="Arial" w:cs="Arial"/>
          <w:bCs/>
          <w:sz w:val="24"/>
          <w:szCs w:val="24"/>
        </w:rPr>
      </w:pPr>
      <w:r w:rsidRPr="00C8354E">
        <w:rPr>
          <w:rFonts w:ascii="Arial" w:hAnsi="Arial" w:cs="Arial"/>
          <w:sz w:val="24"/>
          <w:szCs w:val="24"/>
        </w:rPr>
        <w:t>L’article 58 de la loi du 27 mai 2009, ci-dessous reproduit, s’applique aux personnes de nationalité étrangère qui souhaitent faire célébrer leur mariage dans une</w:t>
      </w:r>
      <w:r w:rsidRPr="00C8354E">
        <w:rPr>
          <w:rFonts w:ascii="Arial" w:hAnsi="Arial" w:cs="Arial"/>
          <w:bCs/>
          <w:sz w:val="24"/>
          <w:szCs w:val="24"/>
        </w:rPr>
        <w:t xml:space="preserve"> </w:t>
      </w:r>
      <w:r w:rsidRPr="00C8354E">
        <w:rPr>
          <w:rFonts w:ascii="Arial" w:hAnsi="Arial" w:cs="Arial"/>
          <w:sz w:val="24"/>
          <w:szCs w:val="24"/>
        </w:rPr>
        <w:t>collectivité d’outre-mer ou en Nouvelle-Calédonie. Le dispositif mis en place soustrait</w:t>
      </w:r>
      <w:r w:rsidRPr="00C8354E">
        <w:rPr>
          <w:rFonts w:ascii="Arial" w:hAnsi="Arial" w:cs="Arial"/>
          <w:bCs/>
          <w:sz w:val="24"/>
          <w:szCs w:val="24"/>
        </w:rPr>
        <w:t xml:space="preserve"> </w:t>
      </w:r>
      <w:r w:rsidRPr="00C8354E">
        <w:rPr>
          <w:rFonts w:ascii="Arial" w:hAnsi="Arial" w:cs="Arial"/>
          <w:sz w:val="24"/>
          <w:szCs w:val="24"/>
        </w:rPr>
        <w:t xml:space="preserve">les intéressés de l’obligation de durée de </w:t>
      </w:r>
      <w:r w:rsidRPr="00C8354E">
        <w:rPr>
          <w:rFonts w:ascii="Arial" w:hAnsi="Arial" w:cs="Arial"/>
          <w:sz w:val="24"/>
          <w:szCs w:val="24"/>
        </w:rPr>
        <w:lastRenderedPageBreak/>
        <w:t>résidence d’un mois au moins dans la collectivité ou la commune de célébration, posée par l’article 74 du code civil.</w:t>
      </w:r>
    </w:p>
    <w:p w:rsidR="00C8354E" w:rsidRPr="00C8354E" w:rsidRDefault="00C8354E" w:rsidP="00C835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sz w:val="24"/>
          <w:szCs w:val="24"/>
        </w:rPr>
      </w:pPr>
      <w:r w:rsidRPr="00C8354E">
        <w:rPr>
          <w:rFonts w:ascii="Arial" w:hAnsi="Arial" w:cs="Arial"/>
          <w:i/>
          <w:sz w:val="24"/>
          <w:szCs w:val="24"/>
        </w:rPr>
        <w:t xml:space="preserve">Article 58 : </w:t>
      </w:r>
      <w:r w:rsidRPr="00C8354E">
        <w:rPr>
          <w:rFonts w:ascii="Arial" w:hAnsi="Arial" w:cs="Arial"/>
          <w:i/>
          <w:iCs/>
          <w:sz w:val="24"/>
          <w:szCs w:val="24"/>
        </w:rPr>
        <w:t>Dans les collectivités d'outre-mer et en Nouvelle-Calédonie, et par dérogation</w:t>
      </w:r>
      <w:r w:rsidRPr="00C8354E">
        <w:rPr>
          <w:rFonts w:ascii="Arial" w:hAnsi="Arial" w:cs="Arial"/>
          <w:i/>
          <w:sz w:val="24"/>
          <w:szCs w:val="24"/>
        </w:rPr>
        <w:t xml:space="preserve"> </w:t>
      </w:r>
      <w:r w:rsidRPr="00C8354E">
        <w:rPr>
          <w:rFonts w:ascii="Arial" w:hAnsi="Arial" w:cs="Arial"/>
          <w:i/>
          <w:iCs/>
          <w:sz w:val="24"/>
          <w:szCs w:val="24"/>
        </w:rPr>
        <w:t>à l’article 74 du code civil, le mariage de deux personnes de nationalité étrangère ne</w:t>
      </w:r>
      <w:r w:rsidRPr="00C8354E">
        <w:rPr>
          <w:rFonts w:ascii="Arial" w:hAnsi="Arial" w:cs="Arial"/>
          <w:i/>
          <w:sz w:val="24"/>
          <w:szCs w:val="24"/>
        </w:rPr>
        <w:t xml:space="preserve"> </w:t>
      </w:r>
      <w:r w:rsidRPr="00C8354E">
        <w:rPr>
          <w:rFonts w:ascii="Arial" w:hAnsi="Arial" w:cs="Arial"/>
          <w:i/>
          <w:iCs/>
          <w:sz w:val="24"/>
          <w:szCs w:val="24"/>
        </w:rPr>
        <w:t>résidant pas sur le territoire national peut être célébré dans la collectivité ou la commune de leur</w:t>
      </w:r>
      <w:r w:rsidRPr="00C8354E">
        <w:rPr>
          <w:rFonts w:ascii="Arial" w:hAnsi="Arial" w:cs="Arial"/>
          <w:i/>
          <w:sz w:val="24"/>
          <w:szCs w:val="24"/>
        </w:rPr>
        <w:t xml:space="preserve"> </w:t>
      </w:r>
      <w:r w:rsidRPr="00C8354E">
        <w:rPr>
          <w:rFonts w:ascii="Arial" w:hAnsi="Arial" w:cs="Arial"/>
          <w:i/>
          <w:iCs/>
          <w:sz w:val="24"/>
          <w:szCs w:val="24"/>
        </w:rPr>
        <w:t>choix, sans condition de résidence de l'un ou l'autre des futurs époux dans ladite collectivité ou commune.</w:t>
      </w:r>
    </w:p>
    <w:p w:rsidR="00C8354E" w:rsidRPr="00C8354E" w:rsidRDefault="00C8354E" w:rsidP="00C835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i/>
          <w:sz w:val="24"/>
          <w:szCs w:val="24"/>
        </w:rPr>
      </w:pPr>
      <w:r w:rsidRPr="00C8354E">
        <w:rPr>
          <w:rFonts w:ascii="Arial" w:hAnsi="Arial" w:cs="Arial"/>
          <w:i/>
          <w:iCs/>
          <w:sz w:val="24"/>
          <w:szCs w:val="24"/>
        </w:rPr>
        <w:t>La compétence territoriale du président de la</w:t>
      </w:r>
      <w:r w:rsidRPr="00C8354E">
        <w:rPr>
          <w:rFonts w:ascii="Arial" w:hAnsi="Arial" w:cs="Arial"/>
          <w:i/>
          <w:sz w:val="24"/>
          <w:szCs w:val="24"/>
        </w:rPr>
        <w:t xml:space="preserve"> </w:t>
      </w:r>
      <w:r w:rsidRPr="00C8354E">
        <w:rPr>
          <w:rFonts w:ascii="Arial" w:hAnsi="Arial" w:cs="Arial"/>
          <w:i/>
          <w:iCs/>
          <w:sz w:val="24"/>
          <w:szCs w:val="24"/>
        </w:rPr>
        <w:t>collectivité ou du maire de la commune choisie par les futurs époux résulte du dépôt par ceux-ci d'un dossier</w:t>
      </w:r>
      <w:r w:rsidRPr="00C8354E">
        <w:rPr>
          <w:rFonts w:ascii="Arial" w:hAnsi="Arial" w:cs="Arial"/>
          <w:i/>
          <w:sz w:val="24"/>
          <w:szCs w:val="24"/>
        </w:rPr>
        <w:t xml:space="preserve"> </w:t>
      </w:r>
      <w:r w:rsidRPr="00C8354E">
        <w:rPr>
          <w:rFonts w:ascii="Arial" w:hAnsi="Arial" w:cs="Arial"/>
          <w:i/>
          <w:iCs/>
          <w:sz w:val="24"/>
          <w:szCs w:val="24"/>
        </w:rPr>
        <w:t>constitué à cette fin au moins un mois avant la publication prévue à l’article 63 du code civil.</w:t>
      </w:r>
    </w:p>
    <w:p w:rsidR="00C8354E" w:rsidRPr="00C8354E" w:rsidRDefault="00C8354E" w:rsidP="00C8354E">
      <w:pPr>
        <w:ind w:left="142"/>
        <w:rPr>
          <w:rFonts w:ascii="Arial" w:hAnsi="Arial" w:cs="Arial"/>
          <w:sz w:val="24"/>
          <w:szCs w:val="24"/>
        </w:rPr>
      </w:pPr>
    </w:p>
    <w:p w:rsidR="00C8354E" w:rsidRPr="00C8354E" w:rsidRDefault="00C8354E" w:rsidP="00C8354E">
      <w:pPr>
        <w:ind w:left="142"/>
        <w:rPr>
          <w:rFonts w:ascii="Arial" w:hAnsi="Arial" w:cs="Arial"/>
          <w:sz w:val="24"/>
          <w:szCs w:val="24"/>
        </w:rPr>
      </w:pPr>
    </w:p>
    <w:sectPr w:rsidR="00C8354E" w:rsidRPr="00C8354E" w:rsidSect="00DA5245">
      <w:pgSz w:w="11906" w:h="16838" w:code="9"/>
      <w:pgMar w:top="720" w:right="720" w:bottom="720" w:left="720" w:header="709" w:footer="709" w:gutter="0"/>
      <w:pgBorders w:offsetFrom="page">
        <w:top w:val="single" w:sz="24" w:space="24" w:color="B4C6E7" w:themeColor="accent5" w:themeTint="66"/>
        <w:left w:val="single" w:sz="24" w:space="24" w:color="B4C6E7" w:themeColor="accent5" w:themeTint="66"/>
        <w:bottom w:val="single" w:sz="24" w:space="24" w:color="B4C6E7" w:themeColor="accent5" w:themeTint="66"/>
        <w:right w:val="single" w:sz="24" w:space="24" w:color="B4C6E7" w:themeColor="accent5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319" w:rsidRDefault="00756319" w:rsidP="00466D0A">
      <w:pPr>
        <w:spacing w:after="0" w:line="240" w:lineRule="auto"/>
      </w:pPr>
      <w:r>
        <w:separator/>
      </w:r>
    </w:p>
  </w:endnote>
  <w:endnote w:type="continuationSeparator" w:id="0">
    <w:p w:rsidR="00756319" w:rsidRDefault="00756319" w:rsidP="0046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319" w:rsidRDefault="00756319" w:rsidP="00466D0A">
      <w:pPr>
        <w:spacing w:after="0" w:line="240" w:lineRule="auto"/>
      </w:pPr>
      <w:r>
        <w:separator/>
      </w:r>
    </w:p>
  </w:footnote>
  <w:footnote w:type="continuationSeparator" w:id="0">
    <w:p w:rsidR="00756319" w:rsidRDefault="00756319" w:rsidP="00466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D4354"/>
    <w:multiLevelType w:val="hybridMultilevel"/>
    <w:tmpl w:val="6096C1C4"/>
    <w:lvl w:ilvl="0" w:tplc="C6A8CC7C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6F1215B"/>
    <w:multiLevelType w:val="hybridMultilevel"/>
    <w:tmpl w:val="ACBAFD5A"/>
    <w:lvl w:ilvl="0" w:tplc="23F834A0"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  <w:color w:val="8EAADB" w:themeColor="accent5" w:themeTint="99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29FD063F"/>
    <w:multiLevelType w:val="hybridMultilevel"/>
    <w:tmpl w:val="277ACB48"/>
    <w:lvl w:ilvl="0" w:tplc="23F834A0"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  <w:color w:val="8EAADB" w:themeColor="accent5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303AA"/>
    <w:multiLevelType w:val="hybridMultilevel"/>
    <w:tmpl w:val="171E4F98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0A"/>
    <w:rsid w:val="00027192"/>
    <w:rsid w:val="00045912"/>
    <w:rsid w:val="00073D1A"/>
    <w:rsid w:val="00113438"/>
    <w:rsid w:val="001C41C9"/>
    <w:rsid w:val="0023080E"/>
    <w:rsid w:val="00283CFB"/>
    <w:rsid w:val="0032256A"/>
    <w:rsid w:val="0033673F"/>
    <w:rsid w:val="003652CD"/>
    <w:rsid w:val="00381B33"/>
    <w:rsid w:val="00464AA9"/>
    <w:rsid w:val="00466D0A"/>
    <w:rsid w:val="00466E41"/>
    <w:rsid w:val="004E73EF"/>
    <w:rsid w:val="004E7F83"/>
    <w:rsid w:val="00552133"/>
    <w:rsid w:val="0055583E"/>
    <w:rsid w:val="005707B2"/>
    <w:rsid w:val="005C191F"/>
    <w:rsid w:val="005E00C8"/>
    <w:rsid w:val="005E4CD7"/>
    <w:rsid w:val="005E5137"/>
    <w:rsid w:val="005E6D7E"/>
    <w:rsid w:val="005F677B"/>
    <w:rsid w:val="00610A55"/>
    <w:rsid w:val="006457BF"/>
    <w:rsid w:val="0075079F"/>
    <w:rsid w:val="00756319"/>
    <w:rsid w:val="007710FD"/>
    <w:rsid w:val="007930FB"/>
    <w:rsid w:val="007C2EEF"/>
    <w:rsid w:val="007F7310"/>
    <w:rsid w:val="008235F4"/>
    <w:rsid w:val="00891B9B"/>
    <w:rsid w:val="008A503A"/>
    <w:rsid w:val="008F0EFA"/>
    <w:rsid w:val="00903DB8"/>
    <w:rsid w:val="009101A3"/>
    <w:rsid w:val="00913DD5"/>
    <w:rsid w:val="009151EF"/>
    <w:rsid w:val="009870EA"/>
    <w:rsid w:val="009961FB"/>
    <w:rsid w:val="009B1C01"/>
    <w:rsid w:val="009E4199"/>
    <w:rsid w:val="00A901DC"/>
    <w:rsid w:val="00A93D12"/>
    <w:rsid w:val="00A94EA9"/>
    <w:rsid w:val="00AE7CFF"/>
    <w:rsid w:val="00B34904"/>
    <w:rsid w:val="00B75CF0"/>
    <w:rsid w:val="00B84F03"/>
    <w:rsid w:val="00BC69E5"/>
    <w:rsid w:val="00BE7671"/>
    <w:rsid w:val="00C43E77"/>
    <w:rsid w:val="00C46278"/>
    <w:rsid w:val="00C8354E"/>
    <w:rsid w:val="00C9749E"/>
    <w:rsid w:val="00CA2936"/>
    <w:rsid w:val="00CE1B16"/>
    <w:rsid w:val="00CE4BDD"/>
    <w:rsid w:val="00D10A45"/>
    <w:rsid w:val="00D27F07"/>
    <w:rsid w:val="00DA5245"/>
    <w:rsid w:val="00DF08D4"/>
    <w:rsid w:val="00E36691"/>
    <w:rsid w:val="00E36C68"/>
    <w:rsid w:val="00EA3EBD"/>
    <w:rsid w:val="00EA3F55"/>
    <w:rsid w:val="00EB65D6"/>
    <w:rsid w:val="00EC3536"/>
    <w:rsid w:val="00F43BC6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BE5A39FA-7617-4B71-BA5A-2F6B2109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6D0A"/>
  </w:style>
  <w:style w:type="paragraph" w:styleId="Pieddepage">
    <w:name w:val="footer"/>
    <w:basedOn w:val="Normal"/>
    <w:link w:val="PieddepageCar"/>
    <w:uiPriority w:val="99"/>
    <w:unhideWhenUsed/>
    <w:rsid w:val="0046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6D0A"/>
  </w:style>
  <w:style w:type="paragraph" w:styleId="Paragraphedeliste">
    <w:name w:val="List Paragraph"/>
    <w:basedOn w:val="Normal"/>
    <w:uiPriority w:val="34"/>
    <w:qFormat/>
    <w:rsid w:val="00D10A4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10A4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7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lomatie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E347E-A371-4179-A8CE-1F283F63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BLANCHARD</dc:creator>
  <cp:keywords/>
  <dc:description/>
  <cp:lastModifiedBy>ETATCIVIL</cp:lastModifiedBy>
  <cp:revision>3</cp:revision>
  <cp:lastPrinted>2020-06-02T12:22:00Z</cp:lastPrinted>
  <dcterms:created xsi:type="dcterms:W3CDTF">2020-06-02T19:24:00Z</dcterms:created>
  <dcterms:modified xsi:type="dcterms:W3CDTF">2020-06-02T19:25:00Z</dcterms:modified>
</cp:coreProperties>
</file>